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Transizione al digitale e Uffici competenti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L'art. 17, comma 1, CAD, stabilisce che ciascuna pubblica amministrazione sia tenuta ad affidare ad un unico ufficio dirigenziale, fermo restando il numero complessivo degli uffici, la "transizione alla modalita' operativa digitale e i conseguenti processi di riorganizzazione finalizzati alla realizzazione di un'amministrazione digitale e aperta, di servizi facilmente utilizzabili e di qualita', attraverso una maggiore efficienza ed economicita'" nominando un Responsabile per la Transizione al Digitale (RTD) e Amministrazioni devono individuare, con atto organizzativo interno e nell'ambito della dotazione organica complessiva delle posizioni di funzione dirigenziale, l'ufficio dirigenziale, di livello generale ove previsto nelrelativo ordinamento, cui attribuire i compiti per la transizione digitale declinati dal comma 1 dell'art. 17 CAD. Il responsabile di tale ufficio deve formalmente assumere le funzioni di Responsabile per la transizione al digitale, essere dotato di "adeguate competenze tecnologiche, di informatica giuridica e manageriali.Il comma 1-septies dell'art. 17 CAD. prevede la possibilita' per le amministrazioni diverse dalle amministrazioni dello Stato di esercitare le funzioni di RTD anche in forma associata. Tale opzione organizzativa, raccomandata specialmente per le PA di piccole dimensioni, puo' avvenire in forza di convenzioni o, per i comuni, anche mediante l'unione di comuni.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Approvazione/aggiornamento Piano triennale per l'informatica e la transizione al digitale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Transizione al digitale e Uffici competenti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Digitalizzazione ed erogazione dei servizi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Transizione al digitale e Uffici competenti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